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黑体" w:cs="Times New Roman"/>
          <w:b/>
          <w:sz w:val="24"/>
        </w:rPr>
      </w:pPr>
      <w:r>
        <w:rPr>
          <w:rFonts w:ascii="Times New Roman" w:hAnsi="Times New Roman" w:eastAsia="黑体" w:cs="Times New Roman"/>
          <w:b/>
          <w:kern w:val="0"/>
          <w:sz w:val="24"/>
        </w:rPr>
        <w:t>西北大学研究生</w:t>
      </w:r>
      <w:r>
        <w:rPr>
          <w:rFonts w:hint="eastAsia" w:ascii="Times New Roman" w:hAnsi="Times New Roman" w:eastAsia="黑体" w:cs="Times New Roman"/>
          <w:b/>
          <w:kern w:val="0"/>
          <w:sz w:val="24"/>
        </w:rPr>
        <w:t>A 级文科</w:t>
      </w:r>
      <w:r>
        <w:rPr>
          <w:rFonts w:ascii="Times New Roman" w:hAnsi="Times New Roman" w:eastAsia="黑体" w:cs="Times New Roman"/>
          <w:b/>
          <w:kern w:val="0"/>
          <w:sz w:val="24"/>
        </w:rPr>
        <w:t>《</w:t>
      </w:r>
      <w:r>
        <w:rPr>
          <w:rFonts w:hint="eastAsia"/>
          <w:b/>
          <w:sz w:val="24"/>
        </w:rPr>
        <w:t>学术论文写作</w:t>
      </w:r>
      <w:r>
        <w:rPr>
          <w:rFonts w:ascii="Times New Roman" w:hAnsi="Times New Roman" w:eastAsia="黑体" w:cs="Times New Roman"/>
          <w:b/>
          <w:kern w:val="0"/>
          <w:sz w:val="24"/>
        </w:rPr>
        <w:t>》课程</w:t>
      </w:r>
      <w:r>
        <w:rPr>
          <w:rFonts w:ascii="Times New Roman" w:hAnsi="Times New Roman" w:eastAsia="黑体" w:cs="Times New Roman"/>
          <w:b/>
          <w:sz w:val="24"/>
        </w:rPr>
        <w:t>教学大纲</w:t>
      </w:r>
    </w:p>
    <w:p>
      <w:pPr>
        <w:spacing w:line="400" w:lineRule="exact"/>
        <w:jc w:val="center"/>
        <w:rPr>
          <w:sz w:val="32"/>
          <w:szCs w:val="32"/>
        </w:rPr>
      </w:pPr>
    </w:p>
    <w:p>
      <w:pPr>
        <w:spacing w:line="360" w:lineRule="auto"/>
        <w:rPr>
          <w:rFonts w:ascii="Times New Roman" w:hAnsi="Times New Roman" w:cs="Times New Roman"/>
          <w:sz w:val="24"/>
        </w:rPr>
      </w:pPr>
      <w:r>
        <w:rPr>
          <w:rFonts w:ascii="Times New Roman" w:hAnsi="Times New Roman" w:cs="Times New Roman"/>
          <w:b/>
          <w:sz w:val="24"/>
        </w:rPr>
        <w:t xml:space="preserve">一、课程名称（中文）：   </w:t>
      </w:r>
      <w:r>
        <w:rPr>
          <w:rFonts w:ascii="Times New Roman" w:hAnsi="Times New Roman" w:eastAsia="黑体" w:cs="Times New Roman"/>
          <w:b/>
          <w:kern w:val="0"/>
          <w:sz w:val="24"/>
        </w:rPr>
        <w:t>《</w:t>
      </w:r>
      <w:r>
        <w:rPr>
          <w:rFonts w:ascii="Times New Roman" w:hAnsi="Times New Roman" w:cs="Times New Roman"/>
          <w:b/>
          <w:sz w:val="24"/>
        </w:rPr>
        <w:t>学术论文写作</w:t>
      </w:r>
      <w:r>
        <w:rPr>
          <w:rFonts w:ascii="Times New Roman" w:hAnsi="Times New Roman" w:eastAsia="黑体" w:cs="Times New Roman"/>
          <w:b/>
          <w:kern w:val="0"/>
          <w:sz w:val="24"/>
        </w:rPr>
        <w:t>》</w:t>
      </w:r>
    </w:p>
    <w:p>
      <w:pPr>
        <w:spacing w:line="360" w:lineRule="auto"/>
        <w:ind w:firstLine="482" w:firstLineChars="200"/>
        <w:rPr>
          <w:rFonts w:ascii="Times New Roman" w:hAnsi="Times New Roman" w:cs="Times New Roman"/>
          <w:b/>
          <w:i/>
          <w:iCs/>
          <w:sz w:val="24"/>
        </w:rPr>
      </w:pPr>
      <w:r>
        <w:rPr>
          <w:rFonts w:ascii="Times New Roman" w:hAnsi="Times New Roman" w:cs="Times New Roman"/>
          <w:b/>
          <w:sz w:val="24"/>
        </w:rPr>
        <w:t>课程名称（英文）</w:t>
      </w:r>
      <w:r>
        <w:rPr>
          <w:rFonts w:ascii="Times New Roman" w:hAnsi="Times New Roman" w:cs="Times New Roman"/>
          <w:sz w:val="24"/>
        </w:rPr>
        <w:t xml:space="preserve">：   </w:t>
      </w:r>
      <w:r>
        <w:rPr>
          <w:rFonts w:ascii="Times New Roman" w:hAnsi="Times New Roman" w:cs="Times New Roman"/>
          <w:i/>
          <w:iCs/>
          <w:sz w:val="24"/>
        </w:rPr>
        <w:t>Academic Paper Writing</w:t>
      </w:r>
    </w:p>
    <w:p>
      <w:pPr>
        <w:spacing w:line="360" w:lineRule="auto"/>
        <w:rPr>
          <w:rFonts w:ascii="Times New Roman" w:hAnsi="Times New Roman" w:cs="Times New Roman"/>
          <w:sz w:val="24"/>
        </w:rPr>
      </w:pPr>
      <w:r>
        <w:rPr>
          <w:rFonts w:ascii="Times New Roman" w:hAnsi="Times New Roman" w:cs="Times New Roman"/>
          <w:b/>
          <w:sz w:val="24"/>
        </w:rPr>
        <w:t>二、学时学分</w:t>
      </w:r>
      <w:r>
        <w:rPr>
          <w:rFonts w:ascii="Times New Roman" w:hAnsi="Times New Roman" w:cs="Times New Roman"/>
          <w:sz w:val="24"/>
        </w:rPr>
        <w:t>：          2学时/周</w:t>
      </w:r>
    </w:p>
    <w:p>
      <w:pPr>
        <w:spacing w:line="360" w:lineRule="auto"/>
        <w:rPr>
          <w:rFonts w:ascii="Times New Roman" w:hAnsi="Times New Roman" w:cs="Times New Roman"/>
          <w:sz w:val="24"/>
        </w:rPr>
      </w:pPr>
      <w:r>
        <w:rPr>
          <w:rFonts w:ascii="Times New Roman" w:hAnsi="Times New Roman" w:cs="Times New Roman"/>
          <w:b/>
          <w:sz w:val="24"/>
        </w:rPr>
        <w:t>三、适用的学位类型(博士或硕士)</w:t>
      </w:r>
      <w:r>
        <w:rPr>
          <w:rFonts w:ascii="Times New Roman" w:hAnsi="Times New Roman" w:cs="Times New Roman"/>
          <w:sz w:val="24"/>
        </w:rPr>
        <w:t>：  硕士</w:t>
      </w:r>
    </w:p>
    <w:p>
      <w:pPr>
        <w:spacing w:line="360" w:lineRule="auto"/>
        <w:rPr>
          <w:rFonts w:ascii="Times New Roman" w:hAnsi="Times New Roman" w:cs="Times New Roman"/>
          <w:b/>
          <w:sz w:val="24"/>
        </w:rPr>
      </w:pPr>
      <w:r>
        <w:rPr>
          <w:rFonts w:ascii="Times New Roman" w:hAnsi="Times New Roman" w:cs="Times New Roman"/>
          <w:b/>
          <w:sz w:val="24"/>
        </w:rPr>
        <w:t xml:space="preserve">四、使用教材(讲义)：  </w:t>
      </w:r>
    </w:p>
    <w:p>
      <w:pPr>
        <w:spacing w:line="360" w:lineRule="auto"/>
        <w:ind w:firstLine="360" w:firstLineChars="150"/>
        <w:rPr>
          <w:rFonts w:ascii="Times New Roman" w:hAnsi="Times New Roman" w:cs="Times New Roman"/>
          <w:sz w:val="24"/>
        </w:rPr>
      </w:pPr>
      <w:r>
        <w:rPr>
          <w:rFonts w:ascii="Times New Roman" w:hAnsi="Times New Roman" w:cs="Times New Roman"/>
          <w:sz w:val="24"/>
        </w:rPr>
        <w:t>1.《论文写作与国际发表》  主编 胡庚申 外语教学与研究出版社</w:t>
      </w:r>
    </w:p>
    <w:p>
      <w:pPr>
        <w:spacing w:line="360" w:lineRule="auto"/>
        <w:ind w:firstLine="360" w:firstLineChars="150"/>
        <w:rPr>
          <w:rFonts w:ascii="Times New Roman" w:hAnsi="Times New Roman" w:cs="Times New Roman"/>
          <w:sz w:val="24"/>
        </w:rPr>
      </w:pPr>
      <w:r>
        <w:rPr>
          <w:rFonts w:ascii="Times New Roman" w:hAnsi="Times New Roman" w:cs="Times New Roman"/>
          <w:sz w:val="24"/>
        </w:rPr>
        <w:t>2. 教师讲义等补充材料</w:t>
      </w:r>
    </w:p>
    <w:p>
      <w:pPr>
        <w:spacing w:line="360" w:lineRule="auto"/>
        <w:ind w:firstLine="542" w:firstLineChars="225"/>
        <w:rPr>
          <w:rFonts w:ascii="Times New Roman" w:hAnsi="Times New Roman" w:cs="Times New Roman"/>
          <w:b/>
          <w:sz w:val="24"/>
        </w:rPr>
      </w:pPr>
      <w:r>
        <w:rPr>
          <w:rFonts w:ascii="Times New Roman" w:hAnsi="Times New Roman" w:cs="Times New Roman"/>
          <w:b/>
          <w:sz w:val="24"/>
        </w:rPr>
        <w:t>主要参考书目(文献)：</w:t>
      </w:r>
    </w:p>
    <w:p>
      <w:pPr>
        <w:spacing w:line="360" w:lineRule="auto"/>
        <w:ind w:firstLine="420"/>
        <w:rPr>
          <w:rFonts w:ascii="Times New Roman" w:hAnsi="Times New Roman" w:cs="Times New Roman"/>
          <w:sz w:val="24"/>
        </w:rPr>
      </w:pPr>
      <w:r>
        <w:rPr>
          <w:rFonts w:hint="eastAsia" w:ascii="Times New Roman" w:hAnsi="Times New Roman" w:cs="Times New Roman"/>
          <w:sz w:val="24"/>
        </w:rPr>
        <w:t>1.</w:t>
      </w:r>
      <w:r>
        <w:rPr>
          <w:rFonts w:ascii="Times New Roman" w:hAnsi="Times New Roman" w:cs="Times New Roman"/>
          <w:sz w:val="24"/>
        </w:rPr>
        <w:t xml:space="preserve">《通用学术英语写作教程》 </w:t>
      </w:r>
      <w:r>
        <w:rPr>
          <w:rFonts w:hint="eastAsia" w:ascii="Times New Roman" w:hAnsi="Times New Roman" w:cs="Times New Roman"/>
          <w:sz w:val="24"/>
        </w:rPr>
        <w:t xml:space="preserve">主编   </w:t>
      </w:r>
      <w:r>
        <w:rPr>
          <w:rFonts w:ascii="Times New Roman" w:hAnsi="Times New Roman" w:cs="Times New Roman"/>
          <w:sz w:val="24"/>
        </w:rPr>
        <w:t xml:space="preserve">蔡基刚 </w:t>
      </w:r>
      <w:r>
        <w:fldChar w:fldCharType="begin"/>
      </w:r>
      <w:r>
        <w:instrText xml:space="preserve"> HYPERLINK "http://search.dangdang.com/?key3=%B8%B4%B5%A9%B4%F3%D1%A7%B3%F6%B0%E6%C9%E7&amp;medium=01&amp;category_path=01.00.00.00.00.00" \t "_blank" </w:instrText>
      </w:r>
      <w:r>
        <w:fldChar w:fldCharType="separate"/>
      </w:r>
      <w:r>
        <w:rPr>
          <w:rFonts w:ascii="Times New Roman" w:hAnsi="Times New Roman" w:cs="Times New Roman"/>
          <w:sz w:val="24"/>
        </w:rPr>
        <w:t>复旦大学出版社</w:t>
      </w:r>
      <w:r>
        <w:rPr>
          <w:rFonts w:ascii="Times New Roman" w:hAnsi="Times New Roman" w:cs="Times New Roman"/>
          <w:sz w:val="24"/>
        </w:rPr>
        <w:fldChar w:fldCharType="end"/>
      </w:r>
    </w:p>
    <w:p>
      <w:pPr>
        <w:spacing w:line="360" w:lineRule="auto"/>
        <w:ind w:firstLine="420"/>
        <w:rPr>
          <w:rFonts w:ascii="Times New Roman" w:hAnsi="Times New Roman" w:cs="Times New Roman"/>
          <w:sz w:val="24"/>
        </w:rPr>
      </w:pPr>
      <w:r>
        <w:rPr>
          <w:rFonts w:hint="eastAsia" w:ascii="Times New Roman" w:hAnsi="Times New Roman" w:cs="Times New Roman"/>
          <w:sz w:val="24"/>
        </w:rPr>
        <w:t>2.</w:t>
      </w:r>
      <w:r>
        <w:rPr>
          <w:rFonts w:ascii="Times New Roman" w:hAnsi="Times New Roman" w:cs="Times New Roman"/>
          <w:sz w:val="24"/>
        </w:rPr>
        <w:t>《学术英语写作》</w:t>
      </w:r>
      <w:r>
        <w:rPr>
          <w:rFonts w:hint="eastAsia" w:ascii="Times New Roman" w:hAnsi="Times New Roman" w:cs="Times New Roman"/>
          <w:sz w:val="24"/>
        </w:rPr>
        <w:t xml:space="preserve">         主编   </w:t>
      </w:r>
      <w:r>
        <w:rPr>
          <w:rFonts w:ascii="Times New Roman" w:hAnsi="Times New Roman" w:cs="Times New Roman"/>
          <w:sz w:val="24"/>
        </w:rPr>
        <w:t>徐玉臣 上海外语教育出版社</w:t>
      </w:r>
    </w:p>
    <w:p>
      <w:pPr>
        <w:spacing w:line="360" w:lineRule="auto"/>
        <w:ind w:firstLine="420"/>
        <w:rPr>
          <w:rFonts w:ascii="Times New Roman" w:hAnsi="Times New Roman" w:cs="Times New Roman"/>
          <w:sz w:val="24"/>
        </w:rPr>
      </w:pPr>
      <w:r>
        <w:rPr>
          <w:rFonts w:hint="eastAsia" w:ascii="Times New Roman" w:hAnsi="Times New Roman" w:cs="Times New Roman"/>
          <w:sz w:val="24"/>
        </w:rPr>
        <w:t xml:space="preserve">3. Applied Linguistics: Research Methods and Thesis Writing </w:t>
      </w:r>
    </w:p>
    <w:p>
      <w:pPr>
        <w:spacing w:line="360" w:lineRule="auto"/>
        <w:ind w:firstLine="3540" w:firstLineChars="1475"/>
        <w:rPr>
          <w:rFonts w:ascii="Times New Roman" w:hAnsi="Times New Roman" w:cs="Times New Roman"/>
          <w:sz w:val="24"/>
        </w:rPr>
      </w:pPr>
      <w:r>
        <w:rPr>
          <w:rFonts w:hint="eastAsia" w:ascii="Times New Roman" w:hAnsi="Times New Roman" w:cs="Times New Roman"/>
          <w:sz w:val="24"/>
        </w:rPr>
        <w:t>主编   文秋芳  外语教学与研究出版社</w:t>
      </w:r>
    </w:p>
    <w:p>
      <w:pPr>
        <w:spacing w:line="360" w:lineRule="auto"/>
        <w:rPr>
          <w:rFonts w:ascii="Times New Roman" w:hAnsi="Times New Roman" w:cs="Times New Roman"/>
          <w:b/>
          <w:sz w:val="24"/>
        </w:rPr>
      </w:pPr>
      <w:r>
        <w:rPr>
          <w:rFonts w:ascii="Times New Roman" w:hAnsi="Times New Roman" w:cs="Times New Roman"/>
          <w:b/>
          <w:sz w:val="24"/>
        </w:rPr>
        <w:t xml:space="preserve">五、开课单位及授课人员： </w:t>
      </w:r>
    </w:p>
    <w:p>
      <w:pPr>
        <w:spacing w:line="360" w:lineRule="auto"/>
        <w:ind w:firstLine="480"/>
        <w:rPr>
          <w:rFonts w:hint="eastAsia" w:ascii="Times New Roman" w:hAnsi="Times New Roman" w:cs="Times New Roman"/>
          <w:sz w:val="24"/>
          <w:lang w:eastAsia="zh-CN"/>
        </w:rPr>
      </w:pPr>
      <w:r>
        <w:rPr>
          <w:rFonts w:ascii="Times New Roman" w:hAnsi="Times New Roman" w:cs="Times New Roman"/>
          <w:sz w:val="24"/>
        </w:rPr>
        <w:t>西北大学外国语学院</w:t>
      </w:r>
      <w:r>
        <w:rPr>
          <w:rFonts w:hint="eastAsia" w:ascii="Times New Roman" w:hAnsi="Times New Roman" w:cs="Times New Roman"/>
          <w:sz w:val="24"/>
        </w:rPr>
        <w:t xml:space="preserve">大外三部 </w:t>
      </w:r>
      <w:r>
        <w:rPr>
          <w:rFonts w:ascii="Times New Roman" w:hAnsi="Times New Roman" w:cs="Times New Roman"/>
          <w:sz w:val="24"/>
        </w:rPr>
        <w:t xml:space="preserve"> </w:t>
      </w:r>
      <w:r>
        <w:rPr>
          <w:rFonts w:hint="eastAsia" w:ascii="Times New Roman" w:hAnsi="Times New Roman" w:cs="Times New Roman"/>
          <w:sz w:val="24"/>
          <w:lang w:eastAsia="zh-CN"/>
        </w:rPr>
        <w:t>何花</w:t>
      </w:r>
    </w:p>
    <w:p>
      <w:pPr>
        <w:spacing w:line="360" w:lineRule="auto"/>
        <w:rPr>
          <w:rFonts w:ascii="Times New Roman" w:hAnsi="Times New Roman" w:cs="Times New Roman"/>
          <w:b/>
          <w:sz w:val="24"/>
        </w:rPr>
      </w:pPr>
      <w:r>
        <w:rPr>
          <w:rFonts w:ascii="Times New Roman" w:hAnsi="Times New Roman" w:cs="Times New Roman"/>
          <w:b/>
          <w:sz w:val="24"/>
        </w:rPr>
        <w:t>六、课程简介：</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课程目的</w:t>
      </w:r>
      <w:r>
        <w:rPr>
          <w:rFonts w:hint="eastAsia" w:ascii="Times New Roman" w:hAnsi="Times New Roman" w:cs="Times New Roman"/>
          <w:sz w:val="24"/>
        </w:rPr>
        <w:t>：旨在提高我校文科硕士研究生</w:t>
      </w:r>
      <w:r>
        <w:rPr>
          <w:rFonts w:ascii="Times New Roman" w:hAnsi="Times New Roman" w:cs="Times New Roman"/>
          <w:sz w:val="24"/>
        </w:rPr>
        <w:t>使用英语撰写本专业学术论文的能力</w:t>
      </w:r>
      <w:r>
        <w:rPr>
          <w:rFonts w:hint="eastAsia" w:ascii="Times New Roman" w:hAnsi="Times New Roman" w:cs="Times New Roman"/>
          <w:sz w:val="24"/>
        </w:rPr>
        <w:t>；提高学生</w:t>
      </w:r>
      <w:r>
        <w:rPr>
          <w:rFonts w:ascii="Times New Roman" w:hAnsi="Times New Roman" w:cs="Times New Roman"/>
          <w:sz w:val="24"/>
        </w:rPr>
        <w:t>将英语</w:t>
      </w:r>
      <w:r>
        <w:rPr>
          <w:rFonts w:hint="eastAsia" w:ascii="Times New Roman" w:hAnsi="Times New Roman" w:cs="Times New Roman"/>
          <w:sz w:val="24"/>
        </w:rPr>
        <w:t>学习</w:t>
      </w:r>
      <w:r>
        <w:rPr>
          <w:rFonts w:ascii="Times New Roman" w:hAnsi="Times New Roman" w:cs="Times New Roman"/>
          <w:sz w:val="24"/>
        </w:rPr>
        <w:t>与本专业科学研究</w:t>
      </w:r>
      <w:r>
        <w:rPr>
          <w:rFonts w:hint="eastAsia" w:ascii="Times New Roman" w:hAnsi="Times New Roman" w:cs="Times New Roman"/>
          <w:sz w:val="24"/>
        </w:rPr>
        <w:t>相结合</w:t>
      </w:r>
      <w:r>
        <w:rPr>
          <w:rFonts w:ascii="Times New Roman" w:hAnsi="Times New Roman" w:cs="Times New Roman"/>
          <w:sz w:val="24"/>
        </w:rPr>
        <w:t>的</w:t>
      </w:r>
      <w:r>
        <w:rPr>
          <w:rFonts w:hint="eastAsia" w:ascii="Times New Roman" w:hAnsi="Times New Roman" w:cs="Times New Roman"/>
          <w:sz w:val="24"/>
        </w:rPr>
        <w:t>英语</w:t>
      </w:r>
      <w:r>
        <w:rPr>
          <w:rFonts w:ascii="Times New Roman" w:hAnsi="Times New Roman" w:cs="Times New Roman"/>
          <w:sz w:val="24"/>
        </w:rPr>
        <w:t>实践应用能力</w:t>
      </w:r>
      <w:r>
        <w:rPr>
          <w:rFonts w:hint="eastAsia" w:ascii="Times New Roman" w:hAnsi="Times New Roman" w:cs="Times New Roman"/>
          <w:sz w:val="24"/>
        </w:rPr>
        <w:t>; 提升通用</w:t>
      </w:r>
      <w:r>
        <w:rPr>
          <w:rFonts w:ascii="Times New Roman" w:hAnsi="Times New Roman" w:cs="Times New Roman"/>
          <w:sz w:val="24"/>
        </w:rPr>
        <w:t>学术英语</w:t>
      </w:r>
      <w:r>
        <w:rPr>
          <w:rFonts w:hint="eastAsia" w:ascii="Times New Roman" w:hAnsi="Times New Roman" w:cs="Times New Roman"/>
          <w:sz w:val="24"/>
        </w:rPr>
        <w:t>的</w:t>
      </w:r>
      <w:r>
        <w:rPr>
          <w:rFonts w:ascii="Times New Roman" w:hAnsi="Times New Roman" w:cs="Times New Roman"/>
          <w:sz w:val="24"/>
        </w:rPr>
        <w:t>综合运用能力。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课程内容</w:t>
      </w:r>
      <w:r>
        <w:rPr>
          <w:rFonts w:hint="eastAsia" w:ascii="Times New Roman" w:hAnsi="Times New Roman" w:cs="Times New Roman"/>
          <w:sz w:val="24"/>
        </w:rPr>
        <w:t>：</w:t>
      </w:r>
      <w:r>
        <w:rPr>
          <w:rFonts w:ascii="Times New Roman" w:hAnsi="Times New Roman" w:cs="Times New Roman"/>
          <w:sz w:val="24"/>
        </w:rPr>
        <w:t>以项目学习法为核心</w:t>
      </w:r>
      <w:r>
        <w:rPr>
          <w:rFonts w:hint="eastAsia" w:ascii="Times New Roman" w:hAnsi="Times New Roman" w:cs="Times New Roman"/>
          <w:sz w:val="24"/>
        </w:rPr>
        <w:t>，结合网络与多媒体等教学媒介，采用教师讲解、师生互动、学生互评、学生小组任务等多样化的教学方式，教学内容一方面涉及学术论文的整个写作过程，包括题目、</w:t>
      </w:r>
      <w:r>
        <w:rPr>
          <w:rFonts w:ascii="Times New Roman" w:hAnsi="Times New Roman" w:cs="Times New Roman"/>
          <w:sz w:val="24"/>
        </w:rPr>
        <w:t>摘要、引言、正文、结语</w:t>
      </w:r>
      <w:r>
        <w:rPr>
          <w:rFonts w:hint="eastAsia" w:ascii="Times New Roman" w:hAnsi="Times New Roman" w:cs="Times New Roman"/>
          <w:sz w:val="24"/>
        </w:rPr>
        <w:t>等部分的内容结构与布局谋篇，另一方面涉及英语宏观写作层面的各项语言技能训练。</w:t>
      </w:r>
    </w:p>
    <w:p>
      <w:pPr>
        <w:pStyle w:val="8"/>
        <w:numPr>
          <w:ilvl w:val="0"/>
          <w:numId w:val="1"/>
        </w:numPr>
        <w:spacing w:line="360" w:lineRule="auto"/>
        <w:ind w:firstLineChars="0"/>
        <w:rPr>
          <w:rFonts w:ascii="Times New Roman" w:hAnsi="Times New Roman" w:cs="Times New Roman"/>
          <w:b/>
          <w:sz w:val="24"/>
        </w:rPr>
      </w:pPr>
      <w:r>
        <w:rPr>
          <w:rFonts w:ascii="Times New Roman" w:hAnsi="Times New Roman" w:cs="Times New Roman"/>
          <w:b/>
          <w:sz w:val="24"/>
        </w:rPr>
        <w:t>教学内容、教学方式及学时分配：</w:t>
      </w:r>
    </w:p>
    <w:tbl>
      <w:tblPr>
        <w:tblStyle w:val="5"/>
        <w:tblW w:w="853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835"/>
        <w:gridCol w:w="836"/>
        <w:gridCol w:w="4484"/>
        <w:gridCol w:w="23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353" w:hRule="atLeast"/>
          <w:jc w:val="center"/>
        </w:trPr>
        <w:tc>
          <w:tcPr>
            <w:tcW w:w="835" w:type="dxa"/>
            <w:tcBorders>
              <w:top w:val="single" w:color="auto" w:sz="12" w:space="0"/>
            </w:tcBorders>
            <w:vAlign w:val="center"/>
          </w:tcPr>
          <w:p>
            <w:pPr>
              <w:widowControl/>
              <w:snapToGrid w:val="0"/>
              <w:spacing w:line="360" w:lineRule="auto"/>
              <w:ind w:firstLine="103" w:firstLineChars="49"/>
              <w:rPr>
                <w:rFonts w:asciiTheme="minorEastAsia" w:hAnsiTheme="minorEastAsia"/>
                <w:b/>
                <w:kern w:val="0"/>
                <w:szCs w:val="21"/>
              </w:rPr>
            </w:pPr>
            <w:r>
              <w:rPr>
                <w:rFonts w:asciiTheme="minorEastAsia" w:hAnsiTheme="minorEastAsia"/>
                <w:b/>
                <w:kern w:val="0"/>
                <w:szCs w:val="21"/>
              </w:rPr>
              <w:t>上课</w:t>
            </w:r>
          </w:p>
          <w:p>
            <w:pPr>
              <w:widowControl/>
              <w:snapToGrid w:val="0"/>
              <w:spacing w:line="360" w:lineRule="auto"/>
              <w:ind w:firstLine="103" w:firstLineChars="49"/>
              <w:rPr>
                <w:rFonts w:asciiTheme="minorEastAsia" w:hAnsiTheme="minorEastAsia"/>
                <w:bCs/>
                <w:kern w:val="0"/>
                <w:szCs w:val="21"/>
              </w:rPr>
            </w:pPr>
            <w:r>
              <w:rPr>
                <w:rFonts w:asciiTheme="minorEastAsia" w:hAnsiTheme="minorEastAsia"/>
                <w:b/>
                <w:kern w:val="0"/>
                <w:szCs w:val="21"/>
              </w:rPr>
              <w:t>次数</w:t>
            </w:r>
          </w:p>
        </w:tc>
        <w:tc>
          <w:tcPr>
            <w:tcW w:w="836" w:type="dxa"/>
            <w:tcBorders>
              <w:top w:val="single" w:color="auto" w:sz="12" w:space="0"/>
            </w:tcBorders>
            <w:vAlign w:val="center"/>
          </w:tcPr>
          <w:p>
            <w:pPr>
              <w:widowControl/>
              <w:snapToGrid w:val="0"/>
              <w:spacing w:line="360" w:lineRule="auto"/>
              <w:rPr>
                <w:rFonts w:asciiTheme="minorEastAsia" w:hAnsiTheme="minorEastAsia"/>
                <w:bCs/>
                <w:kern w:val="0"/>
                <w:szCs w:val="21"/>
              </w:rPr>
            </w:pPr>
            <w:r>
              <w:rPr>
                <w:rFonts w:asciiTheme="minorEastAsia" w:hAnsiTheme="minorEastAsia"/>
                <w:b/>
                <w:kern w:val="0"/>
                <w:szCs w:val="21"/>
              </w:rPr>
              <w:t>学时</w:t>
            </w:r>
          </w:p>
        </w:tc>
        <w:tc>
          <w:tcPr>
            <w:tcW w:w="4484" w:type="dxa"/>
            <w:tcBorders>
              <w:top w:val="single" w:color="auto" w:sz="12" w:space="0"/>
            </w:tcBorders>
            <w:vAlign w:val="center"/>
          </w:tcPr>
          <w:p>
            <w:pPr>
              <w:widowControl/>
              <w:snapToGrid w:val="0"/>
              <w:spacing w:line="360" w:lineRule="auto"/>
              <w:rPr>
                <w:rFonts w:asciiTheme="minorEastAsia" w:hAnsiTheme="minorEastAsia"/>
                <w:bCs/>
                <w:kern w:val="0"/>
                <w:szCs w:val="21"/>
              </w:rPr>
            </w:pPr>
            <w:r>
              <w:rPr>
                <w:rFonts w:asciiTheme="minorEastAsia" w:hAnsiTheme="minorEastAsia"/>
                <w:b/>
                <w:kern w:val="0"/>
                <w:szCs w:val="21"/>
              </w:rPr>
              <w:t>教学内容</w:t>
            </w:r>
          </w:p>
        </w:tc>
        <w:tc>
          <w:tcPr>
            <w:tcW w:w="2379" w:type="dxa"/>
            <w:tcBorders>
              <w:top w:val="single" w:color="auto" w:sz="12" w:space="0"/>
            </w:tcBorders>
            <w:vAlign w:val="center"/>
          </w:tcPr>
          <w:p>
            <w:pPr>
              <w:widowControl/>
              <w:snapToGrid w:val="0"/>
              <w:spacing w:line="360" w:lineRule="auto"/>
              <w:rPr>
                <w:rFonts w:asciiTheme="minorEastAsia" w:hAnsiTheme="minorEastAsia"/>
                <w:bCs/>
                <w:kern w:val="0"/>
                <w:szCs w:val="21"/>
              </w:rPr>
            </w:pPr>
            <w:r>
              <w:rPr>
                <w:rFonts w:asciiTheme="minorEastAsia" w:hAnsiTheme="minorEastAsia"/>
                <w:b/>
                <w:kern w:val="0"/>
                <w:szCs w:val="21"/>
              </w:rPr>
              <w:t>教学方式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889"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napToGrid w:val="0"/>
              <w:spacing w:line="360" w:lineRule="auto"/>
              <w:rPr>
                <w:rFonts w:asciiTheme="minorEastAsia" w:hAnsiTheme="minorEastAsia"/>
                <w:kern w:val="0"/>
                <w:szCs w:val="21"/>
              </w:rPr>
            </w:pPr>
            <w:r>
              <w:rPr>
                <w:rFonts w:hint="eastAsia" w:asciiTheme="minorEastAsia" w:hAnsiTheme="minorEastAsia" w:cstheme="majorEastAsia"/>
                <w:b/>
                <w:szCs w:val="21"/>
              </w:rPr>
              <w:t>课程导入</w:t>
            </w:r>
            <w:r>
              <w:rPr>
                <w:rFonts w:hint="eastAsia" w:asciiTheme="minorEastAsia" w:hAnsiTheme="minorEastAsia"/>
                <w:b/>
                <w:szCs w:val="21"/>
              </w:rPr>
              <w:t>---</w:t>
            </w:r>
            <w:r>
              <w:rPr>
                <w:rFonts w:hint="eastAsia" w:asciiTheme="minorEastAsia" w:hAnsiTheme="minorEastAsia"/>
                <w:szCs w:val="21"/>
              </w:rPr>
              <w:t>介绍</w:t>
            </w:r>
            <w:r>
              <w:rPr>
                <w:rFonts w:hint="eastAsia" w:asciiTheme="minorEastAsia" w:hAnsiTheme="minorEastAsia" w:cstheme="majorEastAsia"/>
                <w:bCs/>
                <w:szCs w:val="21"/>
              </w:rPr>
              <w:t>课程、科学研究及学术论文的相关问题。</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551" w:hRule="atLeast"/>
          <w:jc w:val="center"/>
        </w:trPr>
        <w:tc>
          <w:tcPr>
            <w:tcW w:w="835" w:type="dxa"/>
          </w:tcPr>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第2次</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836" w:type="dxa"/>
            <w:vAlign w:val="center"/>
          </w:tcPr>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szCs w:val="21"/>
              </w:rPr>
            </w:pPr>
            <w:r>
              <w:rPr>
                <w:rFonts w:hint="eastAsia" w:cs="宋体" w:asciiTheme="minorEastAsia" w:hAnsiTheme="minorEastAsia"/>
                <w:b/>
                <w:szCs w:val="21"/>
              </w:rPr>
              <w:t>学术论文的语言特征（1）：词汇---</w:t>
            </w:r>
            <w:r>
              <w:rPr>
                <w:rFonts w:hint="eastAsia" w:cs="宋体" w:asciiTheme="minorEastAsia" w:hAnsiTheme="minorEastAsia"/>
                <w:szCs w:val="21"/>
              </w:rPr>
              <w:t>文科</w:t>
            </w:r>
            <w:r>
              <w:rPr>
                <w:rFonts w:hint="eastAsia" w:cs="宋体" w:asciiTheme="minorEastAsia" w:hAnsiTheme="minorEastAsia"/>
                <w:bCs/>
                <w:szCs w:val="21"/>
              </w:rPr>
              <w:t>学术论文写作中的词汇特点及其运用(强调词汇使用的凝练、深度及审美效果等)。</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r>
              <w:rPr>
                <w:rFonts w:hint="eastAsia" w:asciiTheme="minorEastAsia" w:hAnsiTheme="minorEastAsia"/>
                <w:bCs/>
                <w:kern w:val="0"/>
                <w:szCs w:val="21"/>
              </w:rPr>
              <w:t>及互评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533"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第3次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napToGrid w:val="0"/>
              <w:spacing w:line="360" w:lineRule="auto"/>
              <w:rPr>
                <w:rFonts w:asciiTheme="minorEastAsia" w:hAnsiTheme="minorEastAsia"/>
                <w:kern w:val="0"/>
                <w:szCs w:val="21"/>
              </w:rPr>
            </w:pPr>
            <w:r>
              <w:rPr>
                <w:rFonts w:hint="eastAsia" w:cs="宋体" w:asciiTheme="minorEastAsia" w:hAnsiTheme="minorEastAsia"/>
                <w:b/>
                <w:szCs w:val="21"/>
              </w:rPr>
              <w:t>学术论文的语言特征（2）：句法---</w:t>
            </w:r>
            <w:r>
              <w:rPr>
                <w:rFonts w:hint="eastAsia" w:cs="宋体" w:asciiTheme="minorEastAsia" w:hAnsiTheme="minorEastAsia"/>
                <w:szCs w:val="21"/>
              </w:rPr>
              <w:t>文科</w:t>
            </w:r>
            <w:r>
              <w:rPr>
                <w:rFonts w:hint="eastAsia" w:cs="宋体" w:asciiTheme="minorEastAsia" w:hAnsiTheme="minorEastAsia"/>
                <w:bCs/>
                <w:szCs w:val="21"/>
              </w:rPr>
              <w:t>学术论文写作中的句法特征、句法简化原则及其它写作要求（强调结构优美、内涵深刻）。</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r>
              <w:rPr>
                <w:rFonts w:hint="eastAsia" w:asciiTheme="minorEastAsia" w:hAnsiTheme="minorEastAsia"/>
                <w:bCs/>
                <w:kern w:val="0"/>
                <w:szCs w:val="21"/>
              </w:rPr>
              <w:t>及互评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673"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第4次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kern w:val="0"/>
                <w:szCs w:val="21"/>
              </w:rPr>
            </w:pPr>
            <w:r>
              <w:rPr>
                <w:rFonts w:hint="eastAsia" w:cs="宋体" w:asciiTheme="minorEastAsia" w:hAnsiTheme="minorEastAsia"/>
                <w:b/>
                <w:szCs w:val="21"/>
              </w:rPr>
              <w:t>学术论文的语言特征（3）：语篇</w:t>
            </w:r>
            <w:r>
              <w:rPr>
                <w:rFonts w:hint="eastAsia" w:asciiTheme="minorEastAsia" w:hAnsiTheme="minorEastAsia"/>
                <w:b/>
                <w:szCs w:val="21"/>
              </w:rPr>
              <w:t>---</w:t>
            </w:r>
            <w:r>
              <w:rPr>
                <w:rFonts w:hint="eastAsia" w:asciiTheme="minorEastAsia" w:hAnsiTheme="minorEastAsia"/>
                <w:szCs w:val="21"/>
              </w:rPr>
              <w:t>文科</w:t>
            </w:r>
            <w:r>
              <w:rPr>
                <w:rFonts w:hint="eastAsia" w:cs="宋体" w:asciiTheme="minorEastAsia" w:hAnsiTheme="minorEastAsia"/>
                <w:bCs/>
                <w:szCs w:val="21"/>
              </w:rPr>
              <w:t>学术论文写作中的语篇特征，包括观点展开、论据支撑、逻辑连贯性及多样性等（强调语篇展开的逻辑性）</w:t>
            </w:r>
            <w:r>
              <w:rPr>
                <w:rFonts w:hint="eastAsia" w:asciiTheme="minorEastAsia" w:hAnsiTheme="minorEastAsia" w:cstheme="majorEastAsia"/>
                <w:bCs/>
                <w:szCs w:val="21"/>
              </w:rPr>
              <w:t>。</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完成小组任务及互评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1293"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第5次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bCs/>
                <w:szCs w:val="21"/>
              </w:rPr>
            </w:pPr>
            <w:r>
              <w:rPr>
                <w:rFonts w:hint="eastAsia" w:asciiTheme="minorEastAsia" w:hAnsiTheme="minorEastAsia" w:cstheme="majorEastAsia"/>
                <w:b/>
                <w:szCs w:val="21"/>
              </w:rPr>
              <w:t>论文题目（1）---</w:t>
            </w:r>
            <w:r>
              <w:rPr>
                <w:rFonts w:hint="eastAsia" w:asciiTheme="minorEastAsia" w:hAnsiTheme="minorEastAsia" w:cstheme="majorEastAsia"/>
                <w:szCs w:val="21"/>
              </w:rPr>
              <w:t>文科课题的</w:t>
            </w:r>
            <w:r>
              <w:rPr>
                <w:rFonts w:hint="eastAsia" w:asciiTheme="minorEastAsia" w:hAnsiTheme="minorEastAsia" w:cstheme="majorEastAsia"/>
                <w:bCs/>
                <w:szCs w:val="21"/>
              </w:rPr>
              <w:t>选题步骤及选题中应注意的问题。</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学生小组</w:t>
            </w:r>
            <w:r>
              <w:rPr>
                <w:rFonts w:hint="eastAsia" w:asciiTheme="minorEastAsia" w:hAnsiTheme="minorEastAsia"/>
                <w:bCs/>
                <w:kern w:val="0"/>
                <w:szCs w:val="21"/>
              </w:rPr>
              <w:t>讨论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第6次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kern w:val="0"/>
                <w:szCs w:val="21"/>
              </w:rPr>
            </w:pPr>
            <w:r>
              <w:rPr>
                <w:rFonts w:hint="eastAsia" w:asciiTheme="minorEastAsia" w:hAnsiTheme="minorEastAsia" w:cstheme="majorEastAsia"/>
                <w:b/>
                <w:szCs w:val="21"/>
              </w:rPr>
              <w:t>论文题目（2）---</w:t>
            </w:r>
            <w:r>
              <w:rPr>
                <w:rFonts w:asciiTheme="minorEastAsia" w:hAnsiTheme="minorEastAsia"/>
                <w:kern w:val="0"/>
                <w:szCs w:val="21"/>
              </w:rPr>
              <w:t xml:space="preserve"> </w:t>
            </w:r>
            <w:r>
              <w:rPr>
                <w:rFonts w:hint="eastAsia" w:asciiTheme="minorEastAsia" w:hAnsiTheme="minorEastAsia"/>
                <w:kern w:val="0"/>
                <w:szCs w:val="21"/>
              </w:rPr>
              <w:t>学生就特定学习任务进行课堂陈述。</w:t>
            </w:r>
          </w:p>
        </w:tc>
        <w:tc>
          <w:tcPr>
            <w:tcW w:w="2379" w:type="dxa"/>
            <w:vAlign w:val="center"/>
          </w:tcPr>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学生陈述；</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教师评价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266"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第7次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asciiTheme="minorEastAsia" w:hAnsiTheme="minorEastAsia" w:cstheme="majorEastAsia"/>
                <w:b/>
                <w:szCs w:val="21"/>
              </w:rPr>
              <w:t>文献综述（1）---</w:t>
            </w:r>
            <w:r>
              <w:rPr>
                <w:rFonts w:hint="eastAsia" w:asciiTheme="minorEastAsia" w:hAnsiTheme="minorEastAsia" w:cstheme="majorEastAsia"/>
                <w:szCs w:val="21"/>
              </w:rPr>
              <w:t>文献综述的定义、写作步骤、结构与内容；文科领域文献的阅读、积累与记录等技能。</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248"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第8次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cs="宋体" w:asciiTheme="minorEastAsia" w:hAnsiTheme="minorEastAsia"/>
                <w:b/>
                <w:szCs w:val="21"/>
              </w:rPr>
              <w:t>文献综述(2)---</w:t>
            </w:r>
            <w:r>
              <w:rPr>
                <w:rFonts w:hint="eastAsia" w:asciiTheme="minorEastAsia" w:hAnsiTheme="minorEastAsia" w:cstheme="majorEastAsia"/>
                <w:bCs/>
                <w:szCs w:val="21"/>
              </w:rPr>
              <w:t>学生完成与内容相关的学习任务</w:t>
            </w:r>
          </w:p>
          <w:p>
            <w:pPr>
              <w:widowControl/>
              <w:spacing w:line="360" w:lineRule="auto"/>
              <w:rPr>
                <w:rFonts w:asciiTheme="minorEastAsia" w:hAnsiTheme="minorEastAsia" w:cstheme="majorEastAsia"/>
                <w:bCs/>
                <w:szCs w:val="21"/>
              </w:rPr>
            </w:pP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学生小组任务</w:t>
            </w:r>
            <w:r>
              <w:rPr>
                <w:rFonts w:hint="eastAsia" w:asciiTheme="minorEastAsia" w:hAnsiTheme="minorEastAsia"/>
                <w:bCs/>
                <w:kern w:val="0"/>
                <w:szCs w:val="21"/>
              </w:rPr>
              <w:t>及互评；</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教师评价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267"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第9次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asciiTheme="minorEastAsia" w:hAnsiTheme="minorEastAsia" w:cstheme="majorEastAsia"/>
                <w:b/>
                <w:szCs w:val="21"/>
              </w:rPr>
              <w:t>引言---</w:t>
            </w:r>
            <w:r>
              <w:rPr>
                <w:rFonts w:hint="eastAsia" w:asciiTheme="minorEastAsia" w:hAnsiTheme="minorEastAsia" w:cstheme="majorEastAsia"/>
                <w:bCs/>
                <w:szCs w:val="21"/>
              </w:rPr>
              <w:t>引言的功能、结构特点及相关句法、语篇等特征。</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第10次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szCs w:val="21"/>
              </w:rPr>
            </w:pPr>
            <w:r>
              <w:rPr>
                <w:rFonts w:hint="eastAsia" w:asciiTheme="minorEastAsia" w:hAnsiTheme="minorEastAsia"/>
                <w:b/>
                <w:szCs w:val="21"/>
              </w:rPr>
              <w:t>论文主体</w:t>
            </w:r>
            <w:r>
              <w:rPr>
                <w:rFonts w:hint="eastAsia" w:asciiTheme="minorEastAsia" w:hAnsiTheme="minorEastAsia"/>
                <w:szCs w:val="21"/>
              </w:rPr>
              <w:t>——结合文科期刊论文和毕业论文，探讨主体部分的结构、内容及在宏观层面上的写作特征。</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以问题形式进行师生互动</w:t>
            </w:r>
            <w:r>
              <w:rPr>
                <w:rFonts w:asciiTheme="minorEastAsia" w:hAnsiTheme="minorEastAsia"/>
                <w:bCs/>
                <w:kern w:val="0"/>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第11次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cs="宋体" w:asciiTheme="minorEastAsia" w:hAnsiTheme="minorEastAsia"/>
                <w:b/>
                <w:szCs w:val="21"/>
              </w:rPr>
              <w:t>结果、讨论及结论(1）---</w:t>
            </w:r>
            <w:r>
              <w:rPr>
                <w:rFonts w:hint="eastAsia" w:cs="宋体" w:asciiTheme="minorEastAsia" w:hAnsiTheme="minorEastAsia"/>
                <w:szCs w:val="21"/>
              </w:rPr>
              <w:t>文科</w:t>
            </w:r>
            <w:r>
              <w:rPr>
                <w:rFonts w:hint="eastAsia" w:cs="宋体" w:asciiTheme="minorEastAsia" w:hAnsiTheme="minorEastAsia"/>
                <w:bCs/>
                <w:szCs w:val="21"/>
              </w:rPr>
              <w:t>学术论文中的研究结果、讨论及结论等三部分的功能、内容及写作要求</w:t>
            </w:r>
            <w:r>
              <w:rPr>
                <w:rFonts w:hint="eastAsia" w:asciiTheme="minorEastAsia" w:hAnsiTheme="minorEastAsia" w:cstheme="majorEastAsia"/>
                <w:bCs/>
                <w:szCs w:val="21"/>
              </w:rPr>
              <w:t>。</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学生小组</w:t>
            </w:r>
            <w:r>
              <w:rPr>
                <w:rFonts w:hint="eastAsia" w:asciiTheme="minorEastAsia" w:hAnsiTheme="minorEastAsia"/>
                <w:bCs/>
                <w:kern w:val="0"/>
                <w:szCs w:val="21"/>
              </w:rPr>
              <w:t>讨论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261"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第12次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cs="宋体" w:asciiTheme="minorEastAsia" w:hAnsiTheme="minorEastAsia"/>
                <w:b/>
                <w:szCs w:val="21"/>
              </w:rPr>
              <w:t>结果、讨论及结论(2）---</w:t>
            </w:r>
            <w:r>
              <w:rPr>
                <w:rFonts w:hint="eastAsia" w:asciiTheme="minorEastAsia" w:hAnsiTheme="minorEastAsia" w:cstheme="majorEastAsia"/>
                <w:bCs/>
                <w:szCs w:val="21"/>
              </w:rPr>
              <w:t>学生完成与内容相关的学习任务。</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教师评价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第13次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szCs w:val="21"/>
              </w:rPr>
            </w:pPr>
            <w:r>
              <w:rPr>
                <w:rFonts w:hint="eastAsia" w:asciiTheme="minorEastAsia" w:hAnsiTheme="minorEastAsia" w:cstheme="majorEastAsia"/>
                <w:b/>
                <w:szCs w:val="21"/>
              </w:rPr>
              <w:t>摘要（1）---</w:t>
            </w:r>
            <w:r>
              <w:rPr>
                <w:rFonts w:hint="eastAsia" w:asciiTheme="minorEastAsia" w:hAnsiTheme="minorEastAsia" w:cstheme="majorEastAsia"/>
                <w:szCs w:val="21"/>
              </w:rPr>
              <w:t>文科</w:t>
            </w:r>
            <w:r>
              <w:rPr>
                <w:rFonts w:hint="eastAsia" w:asciiTheme="minorEastAsia" w:hAnsiTheme="minorEastAsia" w:cstheme="majorEastAsia"/>
                <w:bCs/>
                <w:szCs w:val="21"/>
              </w:rPr>
              <w:t>论文摘要的定义、基本要素、类型、结构及写作要求；特别是描述型摘要的写作技能。</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学生小组</w:t>
            </w:r>
            <w:r>
              <w:rPr>
                <w:rFonts w:hint="eastAsia" w:asciiTheme="minorEastAsia" w:hAnsiTheme="minorEastAsia"/>
                <w:bCs/>
                <w:kern w:val="0"/>
                <w:szCs w:val="21"/>
              </w:rPr>
              <w:t>讨论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第14次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asciiTheme="minorEastAsia" w:hAnsiTheme="minorEastAsia" w:cstheme="majorEastAsia"/>
                <w:b/>
                <w:szCs w:val="21"/>
              </w:rPr>
              <w:t>摘要（2）---</w:t>
            </w:r>
            <w:r>
              <w:rPr>
                <w:rFonts w:hint="eastAsia" w:asciiTheme="minorEastAsia" w:hAnsiTheme="minorEastAsia" w:cstheme="majorEastAsia"/>
                <w:bCs/>
                <w:szCs w:val="21"/>
              </w:rPr>
              <w:t>学生完成与内容相关的学习任务。</w:t>
            </w:r>
          </w:p>
          <w:p>
            <w:pPr>
              <w:widowControl/>
              <w:spacing w:line="360" w:lineRule="auto"/>
              <w:rPr>
                <w:rFonts w:asciiTheme="minorEastAsia" w:hAnsiTheme="minorEastAsia"/>
                <w:kern w:val="0"/>
                <w:szCs w:val="21"/>
              </w:rPr>
            </w:pP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教师评价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第15次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szCs w:val="21"/>
              </w:rPr>
            </w:pPr>
            <w:r>
              <w:rPr>
                <w:rFonts w:hint="eastAsia"/>
                <w:b/>
              </w:rPr>
              <w:t>参考文献、致谢、附录及插图等</w:t>
            </w:r>
            <w:r>
              <w:rPr>
                <w:rFonts w:hint="eastAsia" w:asciiTheme="minorEastAsia" w:hAnsiTheme="minorEastAsia"/>
                <w:b/>
                <w:szCs w:val="21"/>
              </w:rPr>
              <w:t>----</w:t>
            </w:r>
            <w:r>
              <w:rPr>
                <w:rFonts w:hint="eastAsia" w:cs="宋体" w:asciiTheme="minorEastAsia" w:hAnsiTheme="minorEastAsia"/>
                <w:bCs/>
                <w:szCs w:val="21"/>
              </w:rPr>
              <w:t>参考文献、致谢、插图及附录等部分的主要功能、内容及写作要求</w:t>
            </w:r>
            <w:r>
              <w:rPr>
                <w:rFonts w:hint="eastAsia" w:asciiTheme="minorEastAsia" w:hAnsiTheme="minorEastAsia" w:cstheme="majorEastAsia"/>
                <w:bCs/>
                <w:szCs w:val="21"/>
              </w:rPr>
              <w:t>。</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87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第16次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kern w:val="0"/>
                <w:szCs w:val="21"/>
              </w:rPr>
            </w:pPr>
            <w:r>
              <w:rPr>
                <w:rFonts w:hint="eastAsia" w:asciiTheme="minorEastAsia" w:hAnsiTheme="minorEastAsia"/>
                <w:b/>
                <w:kern w:val="0"/>
                <w:szCs w:val="21"/>
              </w:rPr>
              <w:t>实践：</w:t>
            </w:r>
            <w:r>
              <w:rPr>
                <w:rFonts w:hint="eastAsia" w:asciiTheme="minorEastAsia" w:hAnsiTheme="minorEastAsia"/>
                <w:kern w:val="0"/>
                <w:szCs w:val="21"/>
              </w:rPr>
              <w:t>分析SSCI等国际学术期刊论文的写作范例</w:t>
            </w:r>
          </w:p>
          <w:p>
            <w:pPr>
              <w:widowControl/>
              <w:spacing w:line="360" w:lineRule="auto"/>
              <w:rPr>
                <w:rFonts w:asciiTheme="minorEastAsia" w:hAnsiTheme="minorEastAsia"/>
                <w:kern w:val="0"/>
                <w:szCs w:val="21"/>
              </w:rPr>
            </w:pP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学生小组任务</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以问题形式进行师生互动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第17次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tc>
        <w:tc>
          <w:tcPr>
            <w:tcW w:w="4484" w:type="dxa"/>
            <w:vAlign w:val="center"/>
          </w:tcPr>
          <w:p>
            <w:pPr>
              <w:widowControl/>
              <w:snapToGrid w:val="0"/>
              <w:spacing w:line="360" w:lineRule="auto"/>
              <w:jc w:val="left"/>
              <w:rPr>
                <w:rFonts w:asciiTheme="minorEastAsia" w:hAnsiTheme="minorEastAsia"/>
                <w:b/>
                <w:kern w:val="0"/>
                <w:szCs w:val="21"/>
              </w:rPr>
            </w:pPr>
            <w:r>
              <w:rPr>
                <w:rFonts w:hint="eastAsia" w:asciiTheme="minorEastAsia" w:hAnsiTheme="minorEastAsia"/>
                <w:b/>
                <w:kern w:val="0"/>
                <w:szCs w:val="21"/>
              </w:rPr>
              <w:t>实践：</w:t>
            </w:r>
            <w:r>
              <w:rPr>
                <w:rFonts w:hint="eastAsia" w:asciiTheme="minorEastAsia" w:hAnsiTheme="minorEastAsia"/>
                <w:kern w:val="0"/>
                <w:szCs w:val="21"/>
              </w:rPr>
              <w:t>论坛</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师生讨论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第18次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tc>
        <w:tc>
          <w:tcPr>
            <w:tcW w:w="4484" w:type="dxa"/>
            <w:vAlign w:val="center"/>
          </w:tcPr>
          <w:p>
            <w:pPr>
              <w:widowControl/>
              <w:snapToGrid w:val="0"/>
              <w:spacing w:line="360" w:lineRule="auto"/>
              <w:rPr>
                <w:rFonts w:asciiTheme="minorEastAsia" w:hAnsiTheme="minorEastAsia"/>
                <w:b/>
                <w:kern w:val="0"/>
                <w:szCs w:val="21"/>
              </w:rPr>
            </w:pPr>
            <w:r>
              <w:rPr>
                <w:rFonts w:hint="eastAsia" w:asciiTheme="minorEastAsia" w:hAnsiTheme="minorEastAsia"/>
                <w:b/>
                <w:kern w:val="0"/>
                <w:szCs w:val="21"/>
              </w:rPr>
              <w:t>课程考试</w:t>
            </w:r>
          </w:p>
        </w:tc>
        <w:tc>
          <w:tcPr>
            <w:tcW w:w="2379" w:type="dxa"/>
            <w:vAlign w:val="center"/>
          </w:tcPr>
          <w:p>
            <w:pPr>
              <w:widowControl/>
              <w:snapToGrid w:val="0"/>
              <w:spacing w:line="360" w:lineRule="auto"/>
              <w:rPr>
                <w:rFonts w:hint="eastAsia" w:asciiTheme="minorEastAsia" w:hAnsiTheme="minorEastAsia" w:eastAsiaTheme="minorEastAsia"/>
                <w:bCs/>
                <w:kern w:val="0"/>
                <w:szCs w:val="21"/>
                <w:lang w:val="en-US" w:eastAsia="zh-CN"/>
              </w:rPr>
            </w:pPr>
            <w:r>
              <w:rPr>
                <w:rFonts w:hint="eastAsia" w:asciiTheme="minorEastAsia" w:hAnsiTheme="minorEastAsia"/>
                <w:bCs/>
                <w:kern w:val="0"/>
                <w:szCs w:val="21"/>
                <w:lang w:val="en-US" w:eastAsia="zh-CN"/>
              </w:rPr>
              <w:t>闭卷+提交论文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合计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36学时</w:t>
            </w:r>
          </w:p>
        </w:tc>
        <w:tc>
          <w:tcPr>
            <w:tcW w:w="4484" w:type="dxa"/>
            <w:vAlign w:val="center"/>
          </w:tcPr>
          <w:p>
            <w:pPr>
              <w:widowControl/>
              <w:snapToGrid w:val="0"/>
              <w:spacing w:line="360" w:lineRule="auto"/>
              <w:rPr>
                <w:rFonts w:asciiTheme="minorEastAsia" w:hAnsiTheme="minorEastAsia"/>
                <w:kern w:val="0"/>
                <w:szCs w:val="21"/>
              </w:rPr>
            </w:pPr>
          </w:p>
        </w:tc>
        <w:tc>
          <w:tcPr>
            <w:tcW w:w="2379" w:type="dxa"/>
            <w:vAlign w:val="center"/>
          </w:tcPr>
          <w:p>
            <w:pPr>
              <w:widowControl/>
              <w:snapToGrid w:val="0"/>
              <w:spacing w:line="360" w:lineRule="auto"/>
              <w:rPr>
                <w:rFonts w:asciiTheme="minorEastAsia" w:hAnsiTheme="minorEastAsia"/>
                <w:bCs/>
                <w:kern w:val="0"/>
                <w:szCs w:val="21"/>
              </w:rPr>
            </w:pPr>
          </w:p>
        </w:tc>
      </w:tr>
    </w:tbl>
    <w:p>
      <w:pPr>
        <w:widowControl/>
        <w:spacing w:line="400" w:lineRule="exact"/>
        <w:jc w:val="center"/>
        <w:rPr>
          <w:rFonts w:eastAsia="华文中宋"/>
          <w:b/>
          <w:kern w:val="0"/>
          <w:sz w:val="32"/>
          <w:szCs w:val="32"/>
        </w:rPr>
      </w:pPr>
    </w:p>
    <w:p>
      <w:pPr>
        <w:widowControl/>
        <w:spacing w:line="400" w:lineRule="exact"/>
        <w:jc w:val="center"/>
        <w:rPr>
          <w:rFonts w:hint="default" w:ascii="Times New Roman" w:hAnsi="Times New Roman" w:eastAsia="华文中宋" w:cs="Times New Roman"/>
          <w:b/>
          <w:kern w:val="0"/>
          <w:sz w:val="24"/>
          <w:szCs w:val="24"/>
        </w:rPr>
      </w:pPr>
      <w:r>
        <w:rPr>
          <w:rFonts w:hint="default" w:ascii="Times New Roman" w:hAnsi="Times New Roman" w:eastAsia="华文中宋" w:cs="Times New Roman"/>
          <w:b/>
          <w:kern w:val="0"/>
          <w:sz w:val="24"/>
          <w:szCs w:val="24"/>
        </w:rPr>
        <w:t xml:space="preserve">Syllabus for Graduate Courses of </w:t>
      </w:r>
    </w:p>
    <w:p>
      <w:pPr>
        <w:widowControl/>
        <w:spacing w:line="400" w:lineRule="exact"/>
        <w:jc w:val="center"/>
        <w:rPr>
          <w:rFonts w:hint="default" w:ascii="Times New Roman" w:hAnsi="Times New Roman" w:eastAsia="华文中宋" w:cs="Times New Roman"/>
          <w:b/>
          <w:kern w:val="0"/>
          <w:sz w:val="24"/>
          <w:szCs w:val="24"/>
        </w:rPr>
      </w:pPr>
      <w:r>
        <w:rPr>
          <w:rFonts w:hint="default" w:ascii="Times New Roman" w:hAnsi="Times New Roman" w:eastAsia="华文中宋" w:cs="Times New Roman"/>
          <w:b/>
          <w:kern w:val="0"/>
          <w:sz w:val="24"/>
          <w:szCs w:val="24"/>
        </w:rPr>
        <w:t>Northwest University</w:t>
      </w:r>
      <w:bookmarkStart w:id="0" w:name="_Toc290137697"/>
    </w:p>
    <w:p>
      <w:pPr>
        <w:widowControl/>
        <w:spacing w:line="400" w:lineRule="exact"/>
        <w:jc w:val="center"/>
        <w:rPr>
          <w:rFonts w:hint="default" w:ascii="Times New Roman" w:hAnsi="Times New Roman" w:eastAsia="华文中宋" w:cs="Times New Roman"/>
          <w:b/>
          <w:kern w:val="0"/>
          <w:sz w:val="24"/>
          <w:szCs w:val="24"/>
        </w:rPr>
      </w:pPr>
    </w:p>
    <w:p>
      <w:pPr>
        <w:widowControl/>
        <w:spacing w:line="400" w:lineRule="exact"/>
        <w:jc w:val="left"/>
        <w:rPr>
          <w:rFonts w:hint="default" w:ascii="Times New Roman" w:hAnsi="Times New Roman" w:eastAsia="华文中宋" w:cs="Times New Roman"/>
          <w:b/>
          <w:i/>
          <w:kern w:val="0"/>
          <w:sz w:val="24"/>
          <w:szCs w:val="24"/>
        </w:rPr>
      </w:pPr>
      <w:r>
        <w:rPr>
          <w:rFonts w:hint="default" w:ascii="Times New Roman" w:hAnsi="Times New Roman" w:eastAsia="华文中宋" w:cs="Times New Roman"/>
          <w:b/>
          <w:kern w:val="0"/>
          <w:sz w:val="24"/>
          <w:szCs w:val="24"/>
        </w:rPr>
        <w:t>Course:</w:t>
      </w:r>
      <w:r>
        <w:rPr>
          <w:rFonts w:hint="default" w:ascii="Times New Roman" w:hAnsi="Times New Roman" w:eastAsia="华文中宋" w:cs="Times New Roman"/>
          <w:b/>
          <w:i/>
          <w:kern w:val="0"/>
          <w:sz w:val="24"/>
          <w:szCs w:val="24"/>
        </w:rPr>
        <w:t xml:space="preserve"> </w:t>
      </w:r>
      <w:r>
        <w:rPr>
          <w:rFonts w:hint="default" w:ascii="Times New Roman" w:hAnsi="Times New Roman" w:eastAsia="华文中宋" w:cs="Times New Roman"/>
          <w:b/>
          <w:kern w:val="0"/>
          <w:sz w:val="24"/>
          <w:szCs w:val="24"/>
        </w:rPr>
        <w:t>Academic Paper Writing</w:t>
      </w:r>
      <w:r>
        <w:rPr>
          <w:rFonts w:hint="default" w:ascii="Times New Roman" w:hAnsi="Times New Roman" w:eastAsia="华文中宋" w:cs="Times New Roman"/>
          <w:b/>
          <w:i/>
          <w:kern w:val="0"/>
          <w:sz w:val="24"/>
          <w:szCs w:val="24"/>
        </w:rPr>
        <w:t xml:space="preserve">                      </w:t>
      </w:r>
    </w:p>
    <w:bookmarkEnd w:id="0"/>
    <w:p>
      <w:pPr>
        <w:widowControl/>
        <w:numPr>
          <w:ilvl w:val="0"/>
          <w:numId w:val="2"/>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bCs/>
          <w:sz w:val="24"/>
          <w:szCs w:val="24"/>
        </w:rPr>
        <w:t>Purpose of the Course:</w:t>
      </w:r>
    </w:p>
    <w:p>
      <w:pPr>
        <w:widowControl/>
        <w:tabs>
          <w:tab w:val="left" w:pos="360"/>
        </w:tabs>
        <w:snapToGrid w:val="0"/>
        <w:spacing w:line="400" w:lineRule="exact"/>
        <w:ind w:left="360"/>
        <w:rPr>
          <w:rFonts w:hint="default" w:ascii="Times New Roman" w:hAnsi="Times New Roman" w:cs="Times New Roman"/>
          <w:bCs/>
          <w:sz w:val="24"/>
          <w:szCs w:val="24"/>
        </w:rPr>
      </w:pPr>
      <w:r>
        <w:rPr>
          <w:rFonts w:hint="default" w:ascii="Times New Roman" w:hAnsi="Times New Roman" w:cs="Times New Roman"/>
          <w:bCs/>
          <w:sz w:val="24"/>
          <w:szCs w:val="24"/>
        </w:rPr>
        <w:t xml:space="preserve">To improve the non-English major graduate students’ academic writing ability in English, application capability of combining English learning with specialized research as well as general academic English ability. </w:t>
      </w:r>
    </w:p>
    <w:p>
      <w:pPr>
        <w:widowControl/>
        <w:numPr>
          <w:ilvl w:val="0"/>
          <w:numId w:val="2"/>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bCs/>
          <w:kern w:val="0"/>
          <w:sz w:val="24"/>
          <w:szCs w:val="24"/>
        </w:rPr>
        <w:t>Teaching Objects:</w:t>
      </w:r>
    </w:p>
    <w:p>
      <w:pPr>
        <w:widowControl/>
        <w:snapToGrid w:val="0"/>
        <w:spacing w:line="400" w:lineRule="exact"/>
        <w:ind w:firstLine="352" w:firstLineChars="147"/>
        <w:rPr>
          <w:rFonts w:hint="default" w:ascii="Times New Roman" w:hAnsi="Times New Roman" w:cs="Times New Roman"/>
          <w:bCs/>
          <w:sz w:val="24"/>
          <w:szCs w:val="24"/>
        </w:rPr>
      </w:pPr>
      <w:r>
        <w:rPr>
          <w:rFonts w:hint="default" w:ascii="Times New Roman" w:hAnsi="Times New Roman" w:cs="Times New Roman"/>
          <w:bCs/>
          <w:kern w:val="0"/>
          <w:sz w:val="24"/>
          <w:szCs w:val="24"/>
        </w:rPr>
        <w:t>Non-English major Graduate students</w:t>
      </w:r>
    </w:p>
    <w:p>
      <w:pPr>
        <w:widowControl/>
        <w:numPr>
          <w:ilvl w:val="0"/>
          <w:numId w:val="2"/>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bCs/>
          <w:kern w:val="0"/>
          <w:sz w:val="24"/>
          <w:szCs w:val="24"/>
        </w:rPr>
        <w:t>Teaching Content:</w:t>
      </w:r>
    </w:p>
    <w:p>
      <w:pPr>
        <w:widowControl/>
        <w:snapToGrid w:val="0"/>
        <w:spacing w:line="400" w:lineRule="exact"/>
        <w:ind w:left="353" w:leftChars="168"/>
        <w:rPr>
          <w:rFonts w:hint="default" w:ascii="Times New Roman" w:hAnsi="Times New Roman" w:cs="Times New Roman"/>
          <w:bCs/>
          <w:sz w:val="24"/>
          <w:szCs w:val="24"/>
        </w:rPr>
      </w:pPr>
      <w:r>
        <w:rPr>
          <w:rFonts w:hint="default" w:ascii="Times New Roman" w:hAnsi="Times New Roman" w:cs="Times New Roman"/>
          <w:bCs/>
          <w:sz w:val="24"/>
          <w:szCs w:val="24"/>
        </w:rPr>
        <w:t xml:space="preserve">Based on a project-learning method, through the learning media of internet, Multiple ways of teaching are applied, like teacher explanation, teacher-student interaction, student interaction and student group tasks. The content of the course, with the focus on English language skills in general academic writing, covers the process of academic paper writing, including title, abstract, introduction, literature review, main text, results, discussion, conclusion and reference, etc. </w:t>
      </w:r>
    </w:p>
    <w:p>
      <w:pPr>
        <w:widowControl/>
        <w:numPr>
          <w:ilvl w:val="0"/>
          <w:numId w:val="2"/>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 xml:space="preserve">Assessment Method: </w:t>
      </w:r>
    </w:p>
    <w:p>
      <w:pPr>
        <w:widowControl/>
        <w:tabs>
          <w:tab w:val="left" w:pos="360"/>
        </w:tabs>
        <w:snapToGrid w:val="0"/>
        <w:spacing w:line="400" w:lineRule="exact"/>
        <w:ind w:left="360"/>
        <w:rPr>
          <w:rFonts w:hint="default" w:ascii="Times New Roman" w:hAnsi="Times New Roman" w:cs="Times New Roman"/>
          <w:bCs/>
          <w:sz w:val="24"/>
          <w:szCs w:val="24"/>
        </w:rPr>
      </w:pPr>
      <w:r>
        <w:rPr>
          <w:rFonts w:hint="default" w:ascii="Times New Roman" w:hAnsi="Times New Roman" w:cs="Times New Roman"/>
          <w:kern w:val="0"/>
          <w:sz w:val="24"/>
          <w:szCs w:val="24"/>
        </w:rPr>
        <w:t>A combination of process evaluation (60%) and a final test (40%)</w:t>
      </w:r>
    </w:p>
    <w:p>
      <w:pPr>
        <w:widowControl/>
        <w:numPr>
          <w:ilvl w:val="0"/>
          <w:numId w:val="2"/>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Required Texts:</w:t>
      </w:r>
    </w:p>
    <w:p>
      <w:pPr>
        <w:widowControl/>
        <w:tabs>
          <w:tab w:val="left" w:pos="360"/>
        </w:tabs>
        <w:snapToGrid w:val="0"/>
        <w:spacing w:line="400" w:lineRule="exact"/>
        <w:ind w:left="360"/>
        <w:rPr>
          <w:rFonts w:hint="default" w:ascii="Times New Roman" w:hAnsi="Times New Roman" w:cs="Times New Roman"/>
          <w:bCs/>
          <w:sz w:val="24"/>
          <w:szCs w:val="24"/>
        </w:rPr>
      </w:pPr>
      <w:r>
        <w:rPr>
          <w:rFonts w:hint="default" w:ascii="Times New Roman" w:hAnsi="Times New Roman" w:cs="Times New Roman"/>
          <w:bCs/>
          <w:sz w:val="24"/>
          <w:szCs w:val="24"/>
        </w:rPr>
        <w:t>1）</w:t>
      </w:r>
      <w:r>
        <w:rPr>
          <w:rFonts w:hint="default" w:ascii="Times New Roman" w:hAnsi="Times New Roman" w:cs="Times New Roman"/>
          <w:bCs/>
          <w:i/>
          <w:sz w:val="24"/>
          <w:szCs w:val="24"/>
        </w:rPr>
        <w:t>Paper Writing and International Publication.</w:t>
      </w:r>
      <w:r>
        <w:rPr>
          <w:rFonts w:hint="default" w:ascii="Times New Roman" w:hAnsi="Times New Roman" w:cs="Times New Roman"/>
          <w:bCs/>
          <w:sz w:val="24"/>
          <w:szCs w:val="24"/>
        </w:rPr>
        <w:t xml:space="preserve"> </w:t>
      </w:r>
    </w:p>
    <w:p>
      <w:pPr>
        <w:widowControl/>
        <w:tabs>
          <w:tab w:val="left" w:pos="360"/>
        </w:tabs>
        <w:snapToGrid w:val="0"/>
        <w:spacing w:line="400" w:lineRule="exact"/>
        <w:ind w:left="359" w:leftChars="171" w:firstLine="360" w:firstLineChars="150"/>
        <w:rPr>
          <w:rFonts w:hint="default" w:ascii="Times New Roman" w:hAnsi="Times New Roman" w:cs="Times New Roman"/>
          <w:bCs/>
          <w:sz w:val="24"/>
          <w:szCs w:val="24"/>
        </w:rPr>
      </w:pPr>
      <w:r>
        <w:rPr>
          <w:rFonts w:hint="default" w:ascii="Times New Roman" w:hAnsi="Times New Roman" w:cs="Times New Roman"/>
          <w:bCs/>
          <w:sz w:val="24"/>
          <w:szCs w:val="24"/>
        </w:rPr>
        <w:t>Hu Gengshen. Foreign Language Teaching and Research, 2014.</w:t>
      </w:r>
    </w:p>
    <w:p>
      <w:pPr>
        <w:widowControl/>
        <w:tabs>
          <w:tab w:val="left" w:pos="360"/>
        </w:tabs>
        <w:snapToGrid w:val="0"/>
        <w:spacing w:line="400" w:lineRule="exact"/>
        <w:ind w:left="360"/>
        <w:rPr>
          <w:rFonts w:hint="default" w:ascii="Times New Roman" w:hAnsi="Times New Roman" w:cs="Times New Roman"/>
          <w:bCs/>
          <w:i/>
          <w:sz w:val="24"/>
          <w:szCs w:val="24"/>
        </w:rPr>
      </w:pPr>
      <w:r>
        <w:rPr>
          <w:rFonts w:hint="default" w:ascii="Times New Roman" w:hAnsi="Times New Roman" w:cs="Times New Roman"/>
          <w:bCs/>
          <w:sz w:val="24"/>
          <w:szCs w:val="24"/>
        </w:rPr>
        <w:t>2）</w:t>
      </w:r>
      <w:r>
        <w:rPr>
          <w:rFonts w:hint="default" w:ascii="Times New Roman" w:hAnsi="Times New Roman" w:cs="Times New Roman"/>
          <w:bCs/>
          <w:i/>
          <w:sz w:val="24"/>
          <w:szCs w:val="24"/>
        </w:rPr>
        <w:t>Teacher’s handouts</w:t>
      </w:r>
    </w:p>
    <w:p>
      <w:pPr>
        <w:widowControl/>
        <w:numPr>
          <w:ilvl w:val="0"/>
          <w:numId w:val="2"/>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 xml:space="preserve">Other Materials on Reserve: </w:t>
      </w:r>
    </w:p>
    <w:p>
      <w:pPr>
        <w:pStyle w:val="8"/>
        <w:spacing w:line="400" w:lineRule="exact"/>
        <w:ind w:left="360" w:firstLine="0" w:firstLineChars="0"/>
        <w:rPr>
          <w:rFonts w:hint="default" w:ascii="Times New Roman" w:hAnsi="Times New Roman" w:cs="Times New Roman"/>
          <w:sz w:val="24"/>
          <w:szCs w:val="24"/>
        </w:rPr>
      </w:pPr>
      <w:r>
        <w:rPr>
          <w:rFonts w:hint="default" w:ascii="Times New Roman" w:hAnsi="Times New Roman" w:cs="Times New Roman"/>
          <w:sz w:val="24"/>
          <w:szCs w:val="24"/>
        </w:rPr>
        <w:t>1). Cai Jigang</w:t>
      </w:r>
      <w:r>
        <w:rPr>
          <w:rFonts w:hint="eastAsia" w:ascii="Times New Roman" w:hAnsi="Times New Roman" w:cs="Times New Roman"/>
          <w:sz w:val="24"/>
          <w:szCs w:val="24"/>
          <w:lang w:val="en-US" w:eastAsia="zh-CN"/>
        </w:rPr>
        <w:t xml:space="preserve">. </w:t>
      </w:r>
      <w:r>
        <w:rPr>
          <w:rFonts w:hint="default" w:ascii="Times New Roman" w:hAnsi="Times New Roman" w:cs="Times New Roman"/>
          <w:i/>
          <w:sz w:val="24"/>
          <w:szCs w:val="24"/>
        </w:rPr>
        <w:t xml:space="preserve">General Academic English Writing. </w:t>
      </w:r>
      <w:r>
        <w:rPr>
          <w:rFonts w:hint="default" w:ascii="Times New Roman" w:hAnsi="Times New Roman" w:cs="Times New Roman"/>
          <w:sz w:val="24"/>
          <w:szCs w:val="24"/>
        </w:rPr>
        <w:t>Fu</w:t>
      </w:r>
      <w:r>
        <w:rPr>
          <w:rFonts w:hint="default" w:ascii="Times New Roman" w:hAnsi="Times New Roman" w:cs="Times New Roman"/>
          <w:sz w:val="24"/>
          <w:szCs w:val="24"/>
          <w:lang w:val="en-US" w:eastAsia="zh-CN"/>
        </w:rPr>
        <w:t>d</w:t>
      </w:r>
      <w:r>
        <w:rPr>
          <w:rFonts w:hint="default" w:ascii="Times New Roman" w:hAnsi="Times New Roman" w:cs="Times New Roman"/>
          <w:sz w:val="24"/>
          <w:szCs w:val="24"/>
        </w:rPr>
        <w:t>an University Press.</w:t>
      </w:r>
    </w:p>
    <w:p>
      <w:pPr>
        <w:pStyle w:val="8"/>
        <w:spacing w:line="400" w:lineRule="exact"/>
        <w:ind w:left="719" w:leftChars="171" w:hanging="360" w:hangingChars="150"/>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cs="Times New Roman"/>
          <w:i/>
          <w:sz w:val="24"/>
          <w:szCs w:val="24"/>
        </w:rPr>
        <w:t xml:space="preserve">. </w:t>
      </w:r>
      <w:r>
        <w:rPr>
          <w:rFonts w:hint="default" w:ascii="Times New Roman" w:hAnsi="Times New Roman" w:cs="Times New Roman"/>
          <w:sz w:val="24"/>
          <w:szCs w:val="24"/>
        </w:rPr>
        <w:t xml:space="preserve">Xu Yuchen. </w:t>
      </w:r>
      <w:r>
        <w:rPr>
          <w:rFonts w:hint="default" w:ascii="Times New Roman" w:hAnsi="Times New Roman" w:cs="Times New Roman"/>
          <w:i/>
          <w:sz w:val="24"/>
          <w:szCs w:val="24"/>
        </w:rPr>
        <w:t>Academic English Writing.</w:t>
      </w:r>
      <w:r>
        <w:rPr>
          <w:rFonts w:hint="default" w:ascii="Times New Roman" w:hAnsi="Times New Roman" w:cs="Times New Roman"/>
          <w:sz w:val="24"/>
          <w:szCs w:val="24"/>
        </w:rPr>
        <w:t xml:space="preserve"> Shanghai Foreign Education Press.</w:t>
      </w:r>
    </w:p>
    <w:p>
      <w:pPr>
        <w:pStyle w:val="8"/>
        <w:spacing w:line="400" w:lineRule="exact"/>
        <w:ind w:left="719" w:leftChars="171" w:hanging="360" w:hangingChars="150"/>
        <w:rPr>
          <w:rFonts w:hint="default" w:ascii="Times New Roman" w:hAnsi="Times New Roman" w:cs="Times New Roman"/>
          <w:sz w:val="24"/>
          <w:szCs w:val="24"/>
        </w:rPr>
      </w:pPr>
      <w:r>
        <w:rPr>
          <w:rFonts w:hint="default" w:ascii="Times New Roman" w:hAnsi="Times New Roman" w:cs="Times New Roman"/>
          <w:sz w:val="24"/>
          <w:szCs w:val="24"/>
        </w:rPr>
        <w:t>3）Wen Qiufang</w:t>
      </w:r>
      <w:r>
        <w:rPr>
          <w:rFonts w:hint="eastAsia" w:ascii="Times New Roman" w:hAnsi="Times New Roman" w:cs="Times New Roman"/>
          <w:sz w:val="24"/>
          <w:szCs w:val="24"/>
          <w:lang w:val="en-US" w:eastAsia="zh-CN"/>
        </w:rPr>
        <w:t>.</w:t>
      </w:r>
      <w:bookmarkStart w:id="1" w:name="_GoBack"/>
      <w:bookmarkEnd w:id="1"/>
      <w:r>
        <w:rPr>
          <w:rFonts w:hint="default" w:ascii="Times New Roman" w:hAnsi="Times New Roman" w:cs="Times New Roman"/>
          <w:sz w:val="24"/>
          <w:szCs w:val="24"/>
        </w:rPr>
        <w:t xml:space="preserve"> Applied Linguistics: Research Methods and Thesis Writing.</w:t>
      </w:r>
    </w:p>
    <w:p>
      <w:pPr>
        <w:pStyle w:val="8"/>
        <w:spacing w:line="400" w:lineRule="exact"/>
        <w:ind w:left="719" w:leftChars="171" w:hanging="360" w:hangingChars="150"/>
        <w:rPr>
          <w:rFonts w:hint="default" w:ascii="Times New Roman" w:hAnsi="Times New Roman" w:cs="Times New Roman"/>
          <w:sz w:val="24"/>
          <w:szCs w:val="24"/>
        </w:rPr>
      </w:pPr>
      <w:r>
        <w:rPr>
          <w:rFonts w:hint="default" w:ascii="Times New Roman" w:hAnsi="Times New Roman" w:cs="Times New Roman"/>
          <w:sz w:val="24"/>
          <w:szCs w:val="24"/>
        </w:rPr>
        <w:t xml:space="preserve">   Foreign Language Teaching and Research Press. </w:t>
      </w:r>
    </w:p>
    <w:p>
      <w:pPr>
        <w:widowControl/>
        <w:numPr>
          <w:ilvl w:val="0"/>
          <w:numId w:val="2"/>
        </w:numPr>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Teaching Methods:</w:t>
      </w:r>
    </w:p>
    <w:p>
      <w:pPr>
        <w:widowControl/>
        <w:snapToGrid w:val="0"/>
        <w:spacing w:line="400" w:lineRule="exact"/>
        <w:ind w:left="360"/>
        <w:jc w:val="left"/>
        <w:rPr>
          <w:rFonts w:hint="default" w:ascii="Times New Roman" w:hAnsi="Times New Roman" w:cs="Times New Roman"/>
          <w:bCs/>
          <w:kern w:val="0"/>
          <w:sz w:val="24"/>
          <w:szCs w:val="24"/>
        </w:rPr>
      </w:pPr>
      <w:r>
        <w:rPr>
          <w:rFonts w:hint="default" w:ascii="Times New Roman" w:hAnsi="Times New Roman" w:cs="Times New Roman"/>
          <w:bCs/>
          <w:kern w:val="0"/>
          <w:sz w:val="24"/>
          <w:szCs w:val="24"/>
        </w:rPr>
        <w:t>A project-based teaching method</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华文中宋">
    <w:altName w:val="宋体"/>
    <w:panose1 w:val="02010600040101010101"/>
    <w:charset w:val="86"/>
    <w:family w:val="auto"/>
    <w:pitch w:val="default"/>
    <w:sig w:usb0="00000000" w:usb1="00000000" w:usb2="00000010" w:usb3="00000000" w:csb0="000400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D6B98"/>
    <w:multiLevelType w:val="multilevel"/>
    <w:tmpl w:val="257D6B98"/>
    <w:lvl w:ilvl="0" w:tentative="0">
      <w:start w:val="7"/>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DB94AC4"/>
    <w:multiLevelType w:val="multilevel"/>
    <w:tmpl w:val="5DB94AC4"/>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07528"/>
    <w:rsid w:val="00C07528"/>
    <w:rsid w:val="00D95EB2"/>
    <w:rsid w:val="01D54F54"/>
    <w:rsid w:val="4E464774"/>
    <w:rsid w:val="5A601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 w:type="paragraph" w:customStyle="1" w:styleId="8">
    <w:name w:val="List Paragraph"/>
    <w:basedOn w:val="1"/>
    <w:unhideWhenUsed/>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507</Words>
  <Characters>2896</Characters>
  <Lines>24</Lines>
  <Paragraphs>6</Paragraphs>
  <ScaleCrop>false</ScaleCrop>
  <LinksUpToDate>false</LinksUpToDate>
  <CharactersWithSpaces>3397</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2017-07-03T00:46:00Z</dcterms:created>
  <dc:creator>lenovo</dc:creator>
  <cp:lastModifiedBy>Administrator</cp:lastModifiedBy>
  <dcterms:modified xsi:type="dcterms:W3CDTF">2017-07-03T02:06:05Z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